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89C4" w14:textId="77777777" w:rsidR="00D4782A" w:rsidRPr="00096CFA" w:rsidRDefault="00D4782A" w:rsidP="00D4782A">
      <w:pPr>
        <w:rPr>
          <w:rFonts w:ascii="Calibri" w:hAnsi="Calibri" w:cs="Calibri"/>
          <w:sz w:val="20"/>
          <w:szCs w:val="20"/>
          <w:highlight w:val="lightGray"/>
        </w:rPr>
      </w:pPr>
    </w:p>
    <w:p w14:paraId="6D759228" w14:textId="77777777" w:rsidR="00D4782A" w:rsidRPr="00096CFA" w:rsidRDefault="00D4782A" w:rsidP="00D4782A">
      <w:pPr>
        <w:rPr>
          <w:rFonts w:ascii="Calibri" w:hAnsi="Calibri" w:cs="Calibri"/>
          <w:sz w:val="20"/>
          <w:szCs w:val="20"/>
          <w:highlight w:val="lightGray"/>
        </w:rPr>
      </w:pPr>
    </w:p>
    <w:p w14:paraId="48FE39E0" w14:textId="77777777" w:rsidR="00D4782A" w:rsidRPr="00096CFA" w:rsidRDefault="00D4782A" w:rsidP="00D4782A">
      <w:pPr>
        <w:rPr>
          <w:rFonts w:ascii="Calibri" w:hAnsi="Calibri" w:cs="Calibri"/>
          <w:sz w:val="20"/>
          <w:szCs w:val="20"/>
          <w:highlight w:val="lightGray"/>
        </w:rPr>
      </w:pPr>
    </w:p>
    <w:p w14:paraId="1E9D0198" w14:textId="7F10F7C5" w:rsidR="008A5679" w:rsidRPr="00096CFA" w:rsidRDefault="008A5679" w:rsidP="00D4782A">
      <w:pPr>
        <w:jc w:val="center"/>
        <w:rPr>
          <w:rFonts w:ascii="Calibri" w:hAnsi="Calibri" w:cs="Calibri"/>
          <w:sz w:val="20"/>
          <w:szCs w:val="20"/>
        </w:rPr>
      </w:pPr>
      <w:r w:rsidRPr="00096CFA">
        <w:rPr>
          <w:rFonts w:ascii="Calibri" w:hAnsi="Calibri" w:cs="Calibri"/>
          <w:sz w:val="20"/>
          <w:szCs w:val="20"/>
          <w:highlight w:val="lightGray"/>
        </w:rPr>
        <w:t>Insert Company Logo or Print/Distribute on Letterhead</w:t>
      </w:r>
    </w:p>
    <w:p w14:paraId="75EA36A4" w14:textId="724C8ED7" w:rsidR="00E63FFB" w:rsidRPr="00096CFA" w:rsidRDefault="0067550B" w:rsidP="00D4782A">
      <w:pPr>
        <w:rPr>
          <w:rFonts w:ascii="Calibri" w:hAnsi="Calibri" w:cs="Calibri"/>
          <w:sz w:val="20"/>
          <w:szCs w:val="20"/>
        </w:rPr>
      </w:pPr>
      <w:r w:rsidRPr="00096CFA">
        <w:rPr>
          <w:rFonts w:ascii="Calibri" w:hAnsi="Calibri" w:cs="Calibri"/>
          <w:sz w:val="20"/>
          <w:szCs w:val="20"/>
          <w:highlight w:val="yellow"/>
        </w:rPr>
        <w:t xml:space="preserve">Contact: </w:t>
      </w:r>
      <w:r w:rsidR="00E63FFB" w:rsidRPr="00096CFA">
        <w:rPr>
          <w:rFonts w:ascii="Calibri" w:hAnsi="Calibri" w:cs="Calibri"/>
          <w:sz w:val="20"/>
          <w:szCs w:val="20"/>
          <w:highlight w:val="yellow"/>
        </w:rPr>
        <w:t>CONTACT NAME</w:t>
      </w:r>
      <w:r w:rsidR="00D4782A" w:rsidRPr="00096CFA">
        <w:rPr>
          <w:rFonts w:ascii="Calibri" w:hAnsi="Calibri" w:cs="Calibri"/>
          <w:sz w:val="20"/>
          <w:szCs w:val="20"/>
        </w:rPr>
        <w:br/>
      </w:r>
      <w:r w:rsidR="00E63FFB" w:rsidRPr="00096CFA">
        <w:rPr>
          <w:rFonts w:ascii="Calibri" w:hAnsi="Calibri" w:cs="Calibri"/>
          <w:sz w:val="20"/>
          <w:szCs w:val="20"/>
          <w:highlight w:val="yellow"/>
        </w:rPr>
        <w:t>EMAIL</w:t>
      </w:r>
      <w:r w:rsidR="00D4782A" w:rsidRPr="00096CFA">
        <w:rPr>
          <w:rFonts w:ascii="Calibri" w:hAnsi="Calibri" w:cs="Calibri"/>
          <w:sz w:val="20"/>
          <w:szCs w:val="20"/>
        </w:rPr>
        <w:br/>
      </w:r>
      <w:r w:rsidR="00E63FFB" w:rsidRPr="00096CFA">
        <w:rPr>
          <w:rFonts w:ascii="Calibri" w:hAnsi="Calibri" w:cs="Calibri"/>
          <w:sz w:val="20"/>
          <w:szCs w:val="20"/>
          <w:highlight w:val="yellow"/>
        </w:rPr>
        <w:t>PHONE</w:t>
      </w:r>
    </w:p>
    <w:p w14:paraId="53FE1C0F" w14:textId="49E4550C" w:rsidR="008B2EAC" w:rsidRPr="00096CFA" w:rsidRDefault="008A57D8" w:rsidP="00D4782A">
      <w:pPr>
        <w:rPr>
          <w:rFonts w:ascii="Calibri" w:hAnsi="Calibri" w:cs="Calibri"/>
          <w:sz w:val="20"/>
          <w:szCs w:val="20"/>
        </w:rPr>
      </w:pPr>
      <w:r w:rsidRPr="00096CFA">
        <w:rPr>
          <w:rFonts w:ascii="Calibri" w:hAnsi="Calibri" w:cs="Calibri"/>
          <w:sz w:val="20"/>
          <w:szCs w:val="20"/>
          <w:highlight w:val="yellow"/>
        </w:rPr>
        <w:t>(DATE)</w:t>
      </w:r>
      <w:r w:rsidR="6B8B4238" w:rsidRPr="00096CFA">
        <w:rPr>
          <w:rFonts w:ascii="Calibri" w:hAnsi="Calibri" w:cs="Calibri"/>
          <w:sz w:val="20"/>
          <w:szCs w:val="20"/>
          <w:highlight w:val="yellow"/>
        </w:rPr>
        <w:t xml:space="preserve"> </w:t>
      </w:r>
      <w:r w:rsidR="00E83519" w:rsidRPr="00096CFA">
        <w:rPr>
          <w:rFonts w:ascii="Calibri" w:hAnsi="Calibri" w:cs="Calibri"/>
          <w:sz w:val="20"/>
          <w:szCs w:val="20"/>
        </w:rPr>
        <w:tab/>
      </w:r>
      <w:r w:rsidR="00E83519" w:rsidRPr="00096CFA">
        <w:rPr>
          <w:rFonts w:ascii="Calibri" w:hAnsi="Calibri" w:cs="Calibri"/>
          <w:b/>
          <w:bCs/>
          <w:color w:val="FF0000"/>
          <w:sz w:val="20"/>
          <w:szCs w:val="20"/>
        </w:rPr>
        <w:t xml:space="preserve">EMBARGOED UNTIL </w:t>
      </w:r>
      <w:r w:rsidR="00BE456B" w:rsidRPr="00096CFA">
        <w:rPr>
          <w:rFonts w:ascii="Calibri" w:hAnsi="Calibri" w:cs="Calibri"/>
          <w:b/>
          <w:bCs/>
          <w:color w:val="FF0000"/>
          <w:sz w:val="20"/>
          <w:szCs w:val="20"/>
        </w:rPr>
        <w:t>9</w:t>
      </w:r>
      <w:r w:rsidR="00D4782A" w:rsidRPr="00096CFA">
        <w:rPr>
          <w:rFonts w:ascii="Calibri" w:hAnsi="Calibri" w:cs="Calibri"/>
          <w:b/>
          <w:bCs/>
          <w:color w:val="FF0000"/>
          <w:sz w:val="20"/>
          <w:szCs w:val="20"/>
        </w:rPr>
        <w:t>am, October 5, 2023</w:t>
      </w:r>
      <w:r w:rsidR="0067550B" w:rsidRPr="00096CFA">
        <w:rPr>
          <w:rFonts w:ascii="Calibri" w:hAnsi="Calibri" w:cs="Calibri"/>
          <w:sz w:val="20"/>
          <w:szCs w:val="20"/>
        </w:rPr>
        <w:br/>
      </w:r>
      <w:r w:rsidR="00B921AD" w:rsidRPr="00096CFA">
        <w:rPr>
          <w:rFonts w:ascii="Calibri" w:hAnsi="Calibri" w:cs="Calibri"/>
          <w:sz w:val="20"/>
          <w:szCs w:val="20"/>
        </w:rPr>
        <w:t>For Immediate Release</w:t>
      </w:r>
    </w:p>
    <w:p w14:paraId="2EC31C6A" w14:textId="6D88789F" w:rsidR="008927D7" w:rsidRPr="00096CFA" w:rsidRDefault="00D4782A" w:rsidP="00D4782A">
      <w:pPr>
        <w:jc w:val="center"/>
        <w:rPr>
          <w:rFonts w:ascii="Calibri" w:hAnsi="Calibri" w:cs="Calibri"/>
          <w:b/>
          <w:bCs/>
          <w:sz w:val="20"/>
          <w:szCs w:val="20"/>
        </w:rPr>
      </w:pPr>
      <w:r w:rsidRPr="00096CFA">
        <w:rPr>
          <w:rFonts w:ascii="Calibri" w:hAnsi="Calibri" w:cs="Calibri"/>
          <w:b/>
          <w:bCs/>
          <w:sz w:val="20"/>
          <w:szCs w:val="20"/>
        </w:rPr>
        <w:br/>
        <w:t>GrowFL Announces 13</w:t>
      </w:r>
      <w:r w:rsidRPr="00096CFA">
        <w:rPr>
          <w:rFonts w:ascii="Calibri" w:hAnsi="Calibri" w:cs="Calibri"/>
          <w:b/>
          <w:bCs/>
          <w:sz w:val="20"/>
          <w:szCs w:val="20"/>
          <w:vertAlign w:val="superscript"/>
        </w:rPr>
        <w:t>th</w:t>
      </w:r>
      <w:r w:rsidRPr="00096CFA">
        <w:rPr>
          <w:rFonts w:ascii="Calibri" w:hAnsi="Calibri" w:cs="Calibri"/>
          <w:b/>
          <w:bCs/>
          <w:sz w:val="20"/>
          <w:szCs w:val="20"/>
        </w:rPr>
        <w:t xml:space="preserve"> Annual GrowFL Florida Companies to Watch Honorees</w:t>
      </w:r>
      <w:r w:rsidRPr="00096CFA">
        <w:rPr>
          <w:rFonts w:ascii="Calibri" w:hAnsi="Calibri" w:cs="Calibri"/>
          <w:b/>
          <w:bCs/>
          <w:sz w:val="20"/>
          <w:szCs w:val="20"/>
        </w:rPr>
        <w:br/>
      </w:r>
      <w:r w:rsidR="008927D7" w:rsidRPr="00096CFA">
        <w:rPr>
          <w:rFonts w:ascii="Calibri" w:hAnsi="Calibri" w:cs="Calibri"/>
          <w:sz w:val="20"/>
          <w:szCs w:val="20"/>
        </w:rPr>
        <w:t>Outstanding leadership, culture and growth make these second-stage businesses stand-out</w:t>
      </w:r>
    </w:p>
    <w:p w14:paraId="58062674" w14:textId="5B6AA392" w:rsidR="00425A40" w:rsidRPr="00096CFA" w:rsidRDefault="00D4782A" w:rsidP="00D4782A">
      <w:pPr>
        <w:rPr>
          <w:rFonts w:ascii="Calibri" w:hAnsi="Calibri" w:cs="Calibri"/>
          <w:sz w:val="20"/>
          <w:szCs w:val="20"/>
        </w:rPr>
      </w:pPr>
      <w:r w:rsidRPr="00096CFA">
        <w:rPr>
          <w:rFonts w:ascii="Calibri" w:hAnsi="Calibri" w:cs="Calibri"/>
          <w:sz w:val="20"/>
          <w:szCs w:val="20"/>
          <w:highlight w:val="yellow"/>
        </w:rPr>
        <w:br/>
      </w:r>
      <w:r w:rsidR="008A5679" w:rsidRPr="00096CFA">
        <w:rPr>
          <w:rFonts w:ascii="Calibri" w:hAnsi="Calibri" w:cs="Calibri"/>
          <w:sz w:val="20"/>
          <w:szCs w:val="20"/>
          <w:highlight w:val="yellow"/>
        </w:rPr>
        <w:t>[CITY]</w:t>
      </w:r>
      <w:r w:rsidR="00081F17" w:rsidRPr="00096CFA">
        <w:rPr>
          <w:rFonts w:ascii="Calibri" w:hAnsi="Calibri" w:cs="Calibri"/>
          <w:sz w:val="20"/>
          <w:szCs w:val="20"/>
          <w:highlight w:val="yellow"/>
        </w:rPr>
        <w:t>,</w:t>
      </w:r>
      <w:r w:rsidR="00081F17" w:rsidRPr="00096CFA">
        <w:rPr>
          <w:rFonts w:ascii="Calibri" w:hAnsi="Calibri" w:cs="Calibri"/>
          <w:sz w:val="20"/>
          <w:szCs w:val="20"/>
        </w:rPr>
        <w:t xml:space="preserve"> Florida</w:t>
      </w:r>
      <w:r w:rsidR="0067550B" w:rsidRPr="00096CFA">
        <w:rPr>
          <w:rFonts w:ascii="Calibri" w:hAnsi="Calibri" w:cs="Calibri"/>
          <w:sz w:val="20"/>
          <w:szCs w:val="20"/>
        </w:rPr>
        <w:t xml:space="preserve"> </w:t>
      </w:r>
      <w:r w:rsidR="0067550B" w:rsidRPr="00096CFA">
        <w:rPr>
          <w:rFonts w:ascii="Calibri" w:hAnsi="Calibri" w:cs="Calibri"/>
          <w:sz w:val="20"/>
          <w:szCs w:val="20"/>
          <w:highlight w:val="yellow"/>
        </w:rPr>
        <w:t>(</w:t>
      </w:r>
      <w:r w:rsidR="008A5679" w:rsidRPr="00096CFA">
        <w:rPr>
          <w:rFonts w:ascii="Calibri" w:hAnsi="Calibri" w:cs="Calibri"/>
          <w:sz w:val="20"/>
          <w:szCs w:val="20"/>
          <w:highlight w:val="yellow"/>
        </w:rPr>
        <w:t>DATE</w:t>
      </w:r>
      <w:r w:rsidR="0067550B" w:rsidRPr="00096CFA">
        <w:rPr>
          <w:rFonts w:ascii="Calibri" w:hAnsi="Calibri" w:cs="Calibri"/>
          <w:sz w:val="20"/>
          <w:szCs w:val="20"/>
          <w:highlight w:val="yellow"/>
        </w:rPr>
        <w:t>)</w:t>
      </w:r>
      <w:r w:rsidR="0067550B" w:rsidRPr="00096CFA">
        <w:rPr>
          <w:rFonts w:ascii="Calibri" w:hAnsi="Calibri" w:cs="Calibri"/>
          <w:sz w:val="20"/>
          <w:szCs w:val="20"/>
        </w:rPr>
        <w:t xml:space="preserve"> </w:t>
      </w:r>
      <w:r w:rsidR="000D5FAB" w:rsidRPr="00096CFA">
        <w:rPr>
          <w:rFonts w:ascii="Calibri" w:hAnsi="Calibri" w:cs="Calibri"/>
          <w:sz w:val="20"/>
          <w:szCs w:val="20"/>
        </w:rPr>
        <w:t>— [</w:t>
      </w:r>
      <w:r w:rsidR="008A5679" w:rsidRPr="00096CFA">
        <w:rPr>
          <w:rFonts w:ascii="Calibri" w:hAnsi="Calibri" w:cs="Calibri"/>
          <w:sz w:val="20"/>
          <w:szCs w:val="20"/>
          <w:highlight w:val="yellow"/>
        </w:rPr>
        <w:t>COMPANY NAME]</w:t>
      </w:r>
      <w:r w:rsidR="008A5679" w:rsidRPr="00096CFA">
        <w:rPr>
          <w:rFonts w:ascii="Calibri" w:hAnsi="Calibri" w:cs="Calibri"/>
          <w:sz w:val="20"/>
          <w:szCs w:val="20"/>
        </w:rPr>
        <w:t xml:space="preserve"> </w:t>
      </w:r>
      <w:r w:rsidR="6B737848" w:rsidRPr="00096CFA">
        <w:rPr>
          <w:rFonts w:ascii="Calibri" w:hAnsi="Calibri" w:cs="Calibri"/>
          <w:sz w:val="20"/>
          <w:szCs w:val="20"/>
        </w:rPr>
        <w:t xml:space="preserve">is pleased to be among the top 50 second-stage </w:t>
      </w:r>
      <w:r w:rsidR="5313DC61" w:rsidRPr="00096CFA">
        <w:rPr>
          <w:rFonts w:ascii="Calibri" w:hAnsi="Calibri" w:cs="Calibri"/>
          <w:sz w:val="20"/>
          <w:szCs w:val="20"/>
        </w:rPr>
        <w:t>companies</w:t>
      </w:r>
      <w:r w:rsidR="6B737848" w:rsidRPr="00096CFA">
        <w:rPr>
          <w:rFonts w:ascii="Calibri" w:hAnsi="Calibri" w:cs="Calibri"/>
          <w:sz w:val="20"/>
          <w:szCs w:val="20"/>
        </w:rPr>
        <w:t xml:space="preserve"> in Florida sele</w:t>
      </w:r>
      <w:r w:rsidR="0FB4B2A5" w:rsidRPr="00096CFA">
        <w:rPr>
          <w:rFonts w:ascii="Calibri" w:hAnsi="Calibri" w:cs="Calibri"/>
          <w:sz w:val="20"/>
          <w:szCs w:val="20"/>
        </w:rPr>
        <w:t>cted as a</w:t>
      </w:r>
      <w:r w:rsidR="6B737848" w:rsidRPr="00096CFA">
        <w:rPr>
          <w:rFonts w:ascii="Calibri" w:hAnsi="Calibri" w:cs="Calibri"/>
          <w:sz w:val="20"/>
          <w:szCs w:val="20"/>
        </w:rPr>
        <w:t xml:space="preserve"> </w:t>
      </w:r>
      <w:r w:rsidRPr="00096CFA">
        <w:rPr>
          <w:rFonts w:ascii="Calibri" w:hAnsi="Calibri" w:cs="Calibri"/>
          <w:sz w:val="20"/>
          <w:szCs w:val="20"/>
        </w:rPr>
        <w:t>13</w:t>
      </w:r>
      <w:r w:rsidRPr="00096CFA">
        <w:rPr>
          <w:rFonts w:ascii="Calibri" w:hAnsi="Calibri" w:cs="Calibri"/>
          <w:sz w:val="20"/>
          <w:szCs w:val="20"/>
          <w:vertAlign w:val="superscript"/>
        </w:rPr>
        <w:t>th</w:t>
      </w:r>
      <w:r w:rsidR="00633184" w:rsidRPr="00096CFA">
        <w:rPr>
          <w:rFonts w:ascii="Calibri" w:hAnsi="Calibri" w:cs="Calibri"/>
          <w:sz w:val="20"/>
          <w:szCs w:val="20"/>
        </w:rPr>
        <w:t xml:space="preserve"> </w:t>
      </w:r>
      <w:r w:rsidR="004D4A24" w:rsidRPr="00096CFA">
        <w:rPr>
          <w:rFonts w:ascii="Calibri" w:hAnsi="Calibri" w:cs="Calibri"/>
          <w:sz w:val="20"/>
          <w:szCs w:val="20"/>
        </w:rPr>
        <w:t>Annual</w:t>
      </w:r>
      <w:r w:rsidR="6B737848" w:rsidRPr="00096CFA">
        <w:rPr>
          <w:rFonts w:ascii="Calibri" w:hAnsi="Calibri" w:cs="Calibri"/>
          <w:sz w:val="20"/>
          <w:szCs w:val="20"/>
        </w:rPr>
        <w:t xml:space="preserve"> GrowFL Florida Companies to Watch </w:t>
      </w:r>
      <w:r w:rsidRPr="00096CFA">
        <w:rPr>
          <w:rFonts w:ascii="Calibri" w:hAnsi="Calibri" w:cs="Calibri"/>
          <w:sz w:val="20"/>
          <w:szCs w:val="20"/>
        </w:rPr>
        <w:t>Honorees</w:t>
      </w:r>
      <w:r w:rsidR="00EC17EA" w:rsidRPr="00096CFA">
        <w:rPr>
          <w:rFonts w:ascii="Calibri" w:hAnsi="Calibri" w:cs="Calibri"/>
          <w:sz w:val="20"/>
          <w:szCs w:val="20"/>
        </w:rPr>
        <w:t xml:space="preserve">, </w:t>
      </w:r>
      <w:r w:rsidR="00425A40" w:rsidRPr="00096CFA">
        <w:rPr>
          <w:rFonts w:ascii="Calibri" w:hAnsi="Calibri" w:cs="Calibri"/>
          <w:sz w:val="20"/>
          <w:szCs w:val="20"/>
        </w:rPr>
        <w:t xml:space="preserve">a statewide </w:t>
      </w:r>
      <w:r w:rsidRPr="00096CFA">
        <w:rPr>
          <w:rFonts w:ascii="Calibri" w:hAnsi="Calibri" w:cs="Calibri"/>
          <w:sz w:val="20"/>
          <w:szCs w:val="20"/>
        </w:rPr>
        <w:t>awards program</w:t>
      </w:r>
      <w:r w:rsidR="00425A40" w:rsidRPr="00096CFA">
        <w:rPr>
          <w:rFonts w:ascii="Calibri" w:hAnsi="Calibri" w:cs="Calibri"/>
          <w:sz w:val="20"/>
          <w:szCs w:val="20"/>
        </w:rPr>
        <w:t xml:space="preserve"> that identifies companies expected to see significant growth over the next several years. The 1</w:t>
      </w:r>
      <w:r w:rsidRPr="00096CFA">
        <w:rPr>
          <w:rFonts w:ascii="Calibri" w:hAnsi="Calibri" w:cs="Calibri"/>
          <w:sz w:val="20"/>
          <w:szCs w:val="20"/>
        </w:rPr>
        <w:t>3</w:t>
      </w:r>
      <w:r w:rsidR="00425A40" w:rsidRPr="00096CFA">
        <w:rPr>
          <w:rFonts w:ascii="Calibri" w:hAnsi="Calibri" w:cs="Calibri"/>
          <w:sz w:val="20"/>
          <w:szCs w:val="20"/>
        </w:rPr>
        <w:t xml:space="preserve">th Annual GrowFL Florida Companies to Watch awards celebration is brought to you by </w:t>
      </w:r>
      <w:r w:rsidRPr="00096CFA">
        <w:rPr>
          <w:rFonts w:ascii="Calibri" w:hAnsi="Calibri" w:cs="Calibri"/>
          <w:sz w:val="20"/>
          <w:szCs w:val="20"/>
        </w:rPr>
        <w:t xml:space="preserve">Duke Energy and </w:t>
      </w:r>
      <w:r w:rsidR="00425A40" w:rsidRPr="00096CFA">
        <w:rPr>
          <w:rFonts w:ascii="Calibri" w:hAnsi="Calibri" w:cs="Calibri"/>
          <w:sz w:val="20"/>
          <w:szCs w:val="20"/>
        </w:rPr>
        <w:t>Nperspective CFO &amp; Strategic Services, in association with the Edward Lowe Foundation.</w:t>
      </w:r>
    </w:p>
    <w:p w14:paraId="4A5B41A2" w14:textId="4869DF61" w:rsidR="00CC4329" w:rsidRPr="00096CFA" w:rsidRDefault="009A0B8B" w:rsidP="00D4782A">
      <w:pPr>
        <w:rPr>
          <w:rFonts w:ascii="Calibri" w:hAnsi="Calibri" w:cs="Calibri"/>
          <w:sz w:val="20"/>
          <w:szCs w:val="20"/>
        </w:rPr>
      </w:pPr>
      <w:r w:rsidRPr="00096CFA">
        <w:rPr>
          <w:rFonts w:cstheme="minorHAnsi"/>
          <w:sz w:val="20"/>
          <w:szCs w:val="20"/>
        </w:rPr>
        <w:t xml:space="preserve">Companies to Watch was developed by the Edward Lowe Foundation as a unique way to recognize and honor second-stage companies that demonstrate high performance in the marketplace with innovative strategies and processes. </w:t>
      </w:r>
      <w:r w:rsidR="00CC4329" w:rsidRPr="00096CFA">
        <w:rPr>
          <w:rFonts w:ascii="Calibri" w:hAnsi="Calibri" w:cs="Calibri"/>
          <w:sz w:val="20"/>
          <w:szCs w:val="20"/>
        </w:rPr>
        <w:t>In addition to evaluating past growth and projected success, applicant companies are judged according to their special strengths and impact in their markets, communities, and within the state – thus deeming them worth watching.</w:t>
      </w:r>
    </w:p>
    <w:p w14:paraId="4519CB06" w14:textId="09CC09B7" w:rsidR="00CC4329" w:rsidRPr="00096CFA" w:rsidRDefault="00D5196A" w:rsidP="00D4782A">
      <w:pPr>
        <w:rPr>
          <w:rFonts w:ascii="Calibri" w:hAnsi="Calibri" w:cs="Calibri"/>
          <w:sz w:val="20"/>
          <w:szCs w:val="20"/>
        </w:rPr>
      </w:pPr>
      <w:r w:rsidRPr="00096CFA">
        <w:rPr>
          <w:rFonts w:ascii="Calibri" w:hAnsi="Calibri" w:cs="Calibri"/>
          <w:sz w:val="20"/>
          <w:szCs w:val="20"/>
        </w:rPr>
        <w:t>71</w:t>
      </w:r>
      <w:r w:rsidR="00F845F1" w:rsidRPr="00096CFA">
        <w:rPr>
          <w:rFonts w:ascii="Calibri" w:hAnsi="Calibri" w:cs="Calibri"/>
          <w:sz w:val="20"/>
          <w:szCs w:val="20"/>
        </w:rPr>
        <w:t xml:space="preserve"> finalists were announced earlier this year, and the 50 honorees were selected after a final round of judging by a</w:t>
      </w:r>
      <w:r w:rsidRPr="00096CFA">
        <w:rPr>
          <w:rFonts w:ascii="Calibri" w:hAnsi="Calibri" w:cs="Calibri"/>
          <w:sz w:val="20"/>
          <w:szCs w:val="20"/>
        </w:rPr>
        <w:t xml:space="preserve">n esteemed </w:t>
      </w:r>
      <w:r w:rsidR="00F845F1" w:rsidRPr="00096CFA">
        <w:rPr>
          <w:rFonts w:ascii="Calibri" w:hAnsi="Calibri" w:cs="Calibri"/>
          <w:sz w:val="20"/>
          <w:szCs w:val="20"/>
        </w:rPr>
        <w:t xml:space="preserve">panel of past </w:t>
      </w:r>
      <w:r w:rsidRPr="00096CFA">
        <w:rPr>
          <w:rFonts w:ascii="Calibri" w:hAnsi="Calibri" w:cs="Calibri"/>
          <w:sz w:val="20"/>
          <w:szCs w:val="20"/>
        </w:rPr>
        <w:t>Honorees</w:t>
      </w:r>
      <w:r w:rsidR="00F845F1" w:rsidRPr="00096CFA">
        <w:rPr>
          <w:rFonts w:ascii="Calibri" w:hAnsi="Calibri" w:cs="Calibri"/>
          <w:sz w:val="20"/>
          <w:szCs w:val="20"/>
        </w:rPr>
        <w:t xml:space="preserve">, economic development leaders and corporate partners of GrowFL.  Companies were judged on </w:t>
      </w:r>
      <w:r w:rsidRPr="00096CFA">
        <w:rPr>
          <w:rFonts w:ascii="Calibri" w:hAnsi="Calibri" w:cs="Calibri"/>
          <w:sz w:val="20"/>
          <w:szCs w:val="20"/>
        </w:rPr>
        <w:t>a number of criteria</w:t>
      </w:r>
      <w:r w:rsidR="00F845F1" w:rsidRPr="00096CFA">
        <w:rPr>
          <w:rFonts w:ascii="Calibri" w:hAnsi="Calibri" w:cs="Calibri"/>
          <w:sz w:val="20"/>
          <w:szCs w:val="20"/>
        </w:rPr>
        <w:t xml:space="preserve"> including growth in number of employees; impact of the business in the job market; increase in sales and/or unit volume; current and past financial reports; innovativeness of the product or service; response to adversity; and contributions to aid community-oriented projects. </w:t>
      </w:r>
    </w:p>
    <w:p w14:paraId="662EA1D8" w14:textId="77777777" w:rsidR="00643C5B" w:rsidRDefault="00643C5B" w:rsidP="00D4782A">
      <w:pPr>
        <w:rPr>
          <w:rFonts w:ascii="Calibri" w:hAnsi="Calibri" w:cs="Calibri"/>
          <w:sz w:val="20"/>
          <w:szCs w:val="20"/>
        </w:rPr>
      </w:pPr>
      <w:r w:rsidRPr="00643C5B">
        <w:rPr>
          <w:rFonts w:ascii="Calibri" w:hAnsi="Calibri" w:cs="Calibri"/>
          <w:sz w:val="20"/>
          <w:szCs w:val="20"/>
        </w:rPr>
        <w:t xml:space="preserve">“GrowFL Florida Companies to Watch was designed to celebrate the spirit of entrepreneurship and to shine a spotlight on the deserving second-stage businesses in our state,” said Jennifer Taylor, president, and CEO of GrowFL. “Second-stage companies are the lifeblood of our economy, creating jobs and fueling prosperity. This diverse group, spanning 20 different counties, representing 18 different industries and 32% of them being woman, veteran, or minority owned, proves Florida is a place where entrepreneurs can thrive. We look forward to celebrating their success for years to come.” </w:t>
      </w:r>
    </w:p>
    <w:p w14:paraId="1BF5F2EE" w14:textId="2603CAE4" w:rsidR="00DD57BC" w:rsidRPr="00096CFA" w:rsidRDefault="00EF053F" w:rsidP="00D4782A">
      <w:pPr>
        <w:rPr>
          <w:rFonts w:ascii="Calibri" w:hAnsi="Calibri" w:cs="Calibri"/>
          <w:sz w:val="20"/>
          <w:szCs w:val="20"/>
          <w:highlight w:val="yellow"/>
        </w:rPr>
      </w:pPr>
      <w:r w:rsidRPr="00096CFA">
        <w:rPr>
          <w:rFonts w:ascii="Calibri" w:hAnsi="Calibri" w:cs="Calibri"/>
          <w:sz w:val="20"/>
          <w:szCs w:val="20"/>
          <w:highlight w:val="yellow"/>
        </w:rPr>
        <w:t>[INSERT QUOTE FROM CEO]</w:t>
      </w:r>
    </w:p>
    <w:p w14:paraId="23F2EA66" w14:textId="2D3D7C1C" w:rsidR="00BE456B" w:rsidRPr="00096CFA" w:rsidRDefault="00BE456B" w:rsidP="00D4782A">
      <w:pPr>
        <w:rPr>
          <w:rFonts w:ascii="Calibri" w:hAnsi="Calibri" w:cs="Calibri"/>
          <w:sz w:val="20"/>
          <w:szCs w:val="20"/>
        </w:rPr>
      </w:pPr>
      <w:r w:rsidRPr="00096CFA">
        <w:rPr>
          <w:rFonts w:ascii="Calibri" w:hAnsi="Calibri" w:cs="Calibri"/>
          <w:sz w:val="20"/>
          <w:szCs w:val="20"/>
        </w:rPr>
        <w:t xml:space="preserve">"As Chair of GrowFL's Advisory Board, I am honored to witness the remarkable growth and ongoing success of Florida's businesses year after year,” said Pete Previte. “These companies truly embody the true spirit of </w:t>
      </w:r>
      <w:r w:rsidRPr="00096CFA">
        <w:rPr>
          <w:rFonts w:ascii="Calibri" w:hAnsi="Calibri" w:cs="Calibri"/>
          <w:sz w:val="20"/>
          <w:szCs w:val="20"/>
        </w:rPr>
        <w:lastRenderedPageBreak/>
        <w:t>entrepreneurship and resilience. Like the 600 Honorees before them, they have overcome challenges, continued to innovate, and successfully lead their team. Their inspiring stories of triumph stand as a testament to the exceptional business environment that thrives here in Florida. It is our privilege to celebrate them and their remarkable achievements."</w:t>
      </w:r>
    </w:p>
    <w:p w14:paraId="495D63AF" w14:textId="2E763716" w:rsidR="000A4032" w:rsidRPr="00096CFA" w:rsidRDefault="000D5FAB" w:rsidP="000A4032">
      <w:pPr>
        <w:rPr>
          <w:rFonts w:ascii="Calibri" w:hAnsi="Calibri" w:cs="Calibri"/>
          <w:sz w:val="20"/>
          <w:szCs w:val="20"/>
        </w:rPr>
      </w:pPr>
      <w:r w:rsidRPr="00096CFA">
        <w:rPr>
          <w:rFonts w:ascii="Calibri" w:hAnsi="Calibri" w:cs="Calibri"/>
          <w:sz w:val="20"/>
          <w:szCs w:val="20"/>
        </w:rPr>
        <w:t xml:space="preserve">To qualify for the award, companies must be headquartered in Florida and have between 6 and 150 </w:t>
      </w:r>
      <w:r w:rsidR="00BE456B" w:rsidRPr="00096CFA">
        <w:rPr>
          <w:rFonts w:ascii="Calibri" w:hAnsi="Calibri" w:cs="Calibri"/>
          <w:sz w:val="20"/>
          <w:szCs w:val="20"/>
        </w:rPr>
        <w:t xml:space="preserve">employees </w:t>
      </w:r>
      <w:r w:rsidRPr="00096CFA">
        <w:rPr>
          <w:rFonts w:ascii="Calibri" w:hAnsi="Calibri" w:cs="Calibri"/>
          <w:sz w:val="20"/>
          <w:szCs w:val="20"/>
        </w:rPr>
        <w:t xml:space="preserve">and revenue between $750,000 and $100 million. </w:t>
      </w:r>
      <w:r w:rsidR="000A4032" w:rsidRPr="00096CFA">
        <w:rPr>
          <w:rFonts w:ascii="Calibri" w:hAnsi="Calibri" w:cs="Calibri"/>
          <w:sz w:val="20"/>
          <w:szCs w:val="20"/>
        </w:rPr>
        <w:t xml:space="preserve">From 2019 through 2022, these companies generated close to $2 billion in revenue and added 871 employees, reflecting a 99% increase in revenue and a 62% increase in jobs for the four-year period. That translates into a 27% average annual revenue growth and a 19% average annual growth in employees. </w:t>
      </w:r>
    </w:p>
    <w:p w14:paraId="1E760E41" w14:textId="77777777" w:rsidR="000A4032" w:rsidRPr="00096CFA" w:rsidRDefault="000A4032" w:rsidP="000A4032">
      <w:pPr>
        <w:rPr>
          <w:rFonts w:ascii="Calibri" w:hAnsi="Calibri" w:cs="Calibri"/>
          <w:sz w:val="20"/>
          <w:szCs w:val="20"/>
        </w:rPr>
      </w:pPr>
      <w:r w:rsidRPr="00096CFA">
        <w:rPr>
          <w:rFonts w:ascii="Calibri" w:hAnsi="Calibri" w:cs="Calibri"/>
          <w:sz w:val="20"/>
          <w:szCs w:val="20"/>
        </w:rPr>
        <w:t xml:space="preserve">These companies projected continued growth in 2023, with a 28% revenue increase and a 22% growth in employees compared to 2022. If their projections hold, these companies will have generated more than $2.8 billion in revenue and added 1,370 employees over the last five years — a 155% increase in revenue and 97% increase in jobs since 2018. </w:t>
      </w:r>
    </w:p>
    <w:p w14:paraId="42831A50" w14:textId="29A9BC6D" w:rsidR="00977A79" w:rsidRPr="00096CFA" w:rsidRDefault="00977A79" w:rsidP="000A4032">
      <w:pPr>
        <w:rPr>
          <w:rFonts w:ascii="Calibri" w:hAnsi="Calibri" w:cs="Calibri"/>
          <w:sz w:val="20"/>
          <w:szCs w:val="20"/>
        </w:rPr>
      </w:pPr>
      <w:r w:rsidRPr="00096CFA">
        <w:rPr>
          <w:rFonts w:ascii="Calibri" w:hAnsi="Calibri" w:cs="Calibri"/>
          <w:sz w:val="20"/>
          <w:szCs w:val="20"/>
        </w:rPr>
        <w:t xml:space="preserve">Companies named to the list will be officially recognized at the </w:t>
      </w:r>
      <w:r w:rsidR="00120F8C" w:rsidRPr="00096CFA">
        <w:rPr>
          <w:rFonts w:ascii="Calibri" w:hAnsi="Calibri" w:cs="Calibri"/>
          <w:sz w:val="20"/>
          <w:szCs w:val="20"/>
        </w:rPr>
        <w:t>1</w:t>
      </w:r>
      <w:r w:rsidR="000A4032" w:rsidRPr="00096CFA">
        <w:rPr>
          <w:rFonts w:ascii="Calibri" w:hAnsi="Calibri" w:cs="Calibri"/>
          <w:sz w:val="20"/>
          <w:szCs w:val="20"/>
        </w:rPr>
        <w:t>3</w:t>
      </w:r>
      <w:r w:rsidR="00120F8C" w:rsidRPr="00096CFA">
        <w:rPr>
          <w:rFonts w:ascii="Calibri" w:hAnsi="Calibri" w:cs="Calibri"/>
          <w:sz w:val="20"/>
          <w:szCs w:val="20"/>
        </w:rPr>
        <w:t>th</w:t>
      </w:r>
      <w:r w:rsidRPr="00096CFA">
        <w:rPr>
          <w:rFonts w:ascii="Calibri" w:hAnsi="Calibri" w:cs="Calibri"/>
          <w:sz w:val="20"/>
          <w:szCs w:val="20"/>
        </w:rPr>
        <w:t xml:space="preserve"> Annual GrowFL Florida Companies to Watch Celebration on February </w:t>
      </w:r>
      <w:r w:rsidR="000A4032" w:rsidRPr="00096CFA">
        <w:rPr>
          <w:rFonts w:ascii="Calibri" w:hAnsi="Calibri" w:cs="Calibri"/>
          <w:sz w:val="20"/>
          <w:szCs w:val="20"/>
        </w:rPr>
        <w:t>15</w:t>
      </w:r>
      <w:r w:rsidRPr="00096CFA">
        <w:rPr>
          <w:rFonts w:ascii="Calibri" w:hAnsi="Calibri" w:cs="Calibri"/>
          <w:sz w:val="20"/>
          <w:szCs w:val="20"/>
        </w:rPr>
        <w:t xml:space="preserve">, </w:t>
      </w:r>
      <w:r w:rsidR="000A4032" w:rsidRPr="00096CFA">
        <w:rPr>
          <w:rFonts w:ascii="Calibri" w:hAnsi="Calibri" w:cs="Calibri"/>
          <w:sz w:val="20"/>
          <w:szCs w:val="20"/>
        </w:rPr>
        <w:t>2024</w:t>
      </w:r>
      <w:r w:rsidRPr="00096CFA">
        <w:rPr>
          <w:rFonts w:ascii="Calibri" w:hAnsi="Calibri" w:cs="Calibri"/>
          <w:sz w:val="20"/>
          <w:szCs w:val="20"/>
        </w:rPr>
        <w:t xml:space="preserve">, at the Hard Rock Live in Universal CityWalk, Orlando, FL. Tickets are on sale now.  For more information or to purchase tickets, visit </w:t>
      </w:r>
      <w:hyperlink r:id="rId10" w:history="1">
        <w:r w:rsidR="00096CFA" w:rsidRPr="00096CFA">
          <w:rPr>
            <w:rStyle w:val="Hyperlink"/>
            <w:rFonts w:ascii="Calibri" w:hAnsi="Calibri" w:cs="Calibri"/>
            <w:sz w:val="20"/>
            <w:szCs w:val="20"/>
          </w:rPr>
          <w:t>https://growfl.com/about-growfl-flctw/</w:t>
        </w:r>
      </w:hyperlink>
      <w:r w:rsidR="00096CFA" w:rsidRPr="00096CFA">
        <w:rPr>
          <w:rFonts w:ascii="Calibri" w:hAnsi="Calibri" w:cs="Calibri"/>
          <w:sz w:val="20"/>
          <w:szCs w:val="20"/>
        </w:rPr>
        <w:t xml:space="preserve">.  </w:t>
      </w:r>
    </w:p>
    <w:p w14:paraId="5FACCACE" w14:textId="0FABED5A" w:rsidR="00203E98" w:rsidRPr="00096CFA" w:rsidRDefault="00203E98" w:rsidP="00D4782A">
      <w:pPr>
        <w:pBdr>
          <w:bottom w:val="thinThickThinMediumGap" w:sz="18" w:space="1" w:color="auto"/>
        </w:pBdr>
        <w:rPr>
          <w:rFonts w:ascii="Calibri" w:hAnsi="Calibri" w:cs="Calibri"/>
          <w:sz w:val="20"/>
          <w:szCs w:val="20"/>
        </w:rPr>
      </w:pPr>
    </w:p>
    <w:p w14:paraId="4314E328" w14:textId="135B4F39" w:rsidR="00096CFA" w:rsidRPr="00096CFA" w:rsidRDefault="00096CFA" w:rsidP="00096CFA">
      <w:pPr>
        <w:rPr>
          <w:rFonts w:ascii="Calibri" w:hAnsi="Calibri" w:cs="Calibri"/>
          <w:sz w:val="20"/>
          <w:szCs w:val="20"/>
          <w:highlight w:val="yellow"/>
        </w:rPr>
      </w:pPr>
      <w:r w:rsidRPr="00096CFA">
        <w:rPr>
          <w:rFonts w:ascii="Calibri" w:hAnsi="Calibri" w:cs="Calibri"/>
          <w:sz w:val="20"/>
          <w:szCs w:val="20"/>
          <w:highlight w:val="yellow"/>
        </w:rPr>
        <w:t>[INSERT ABOUT COMPANY]:</w:t>
      </w:r>
    </w:p>
    <w:p w14:paraId="5234C8E4" w14:textId="3E544B30" w:rsidR="00096CFA" w:rsidRPr="00096CFA" w:rsidRDefault="00096CFA" w:rsidP="00096CFA">
      <w:pPr>
        <w:rPr>
          <w:rFonts w:cstheme="minorHAnsi"/>
          <w:b/>
          <w:bCs/>
          <w:sz w:val="20"/>
          <w:szCs w:val="20"/>
        </w:rPr>
      </w:pPr>
      <w:r w:rsidRPr="00096CFA">
        <w:rPr>
          <w:rFonts w:cstheme="minorHAnsi"/>
          <w:b/>
          <w:bCs/>
          <w:sz w:val="20"/>
          <w:szCs w:val="20"/>
        </w:rPr>
        <w:t xml:space="preserve">About GrowFL: </w:t>
      </w:r>
      <w:r w:rsidRPr="00096CFA">
        <w:rPr>
          <w:rFonts w:cstheme="minorHAnsi"/>
          <w:sz w:val="20"/>
          <w:szCs w:val="20"/>
        </w:rPr>
        <w:t xml:space="preserve">GrowFL, through our diverse programs and services, provides proven methods to help overcome unique challenges facing second-stage companies as they grow. Second-stage growth companies have at least 6 employees and $750,000 in revenue and possess the intent and desire to grow beyond second-stage. GrowFL is proud to serve Florida as the state’s only organization focused exclusively on supporting second-stage businesses. Website: </w:t>
      </w:r>
      <w:hyperlink r:id="rId11" w:history="1">
        <w:r w:rsidRPr="00096CFA">
          <w:rPr>
            <w:rStyle w:val="Hyperlink"/>
            <w:rFonts w:cstheme="minorHAnsi"/>
            <w:sz w:val="20"/>
            <w:szCs w:val="20"/>
          </w:rPr>
          <w:t>https://www.growfl.com</w:t>
        </w:r>
      </w:hyperlink>
      <w:r w:rsidRPr="00096CFA">
        <w:rPr>
          <w:rFonts w:cstheme="minorHAnsi"/>
          <w:sz w:val="20"/>
          <w:szCs w:val="20"/>
        </w:rPr>
        <w:t xml:space="preserve">. </w:t>
      </w:r>
    </w:p>
    <w:p w14:paraId="2FB85BA2" w14:textId="0CE28835" w:rsidR="00096CFA" w:rsidRPr="00096CFA" w:rsidRDefault="00096CFA" w:rsidP="00096CFA">
      <w:pPr>
        <w:rPr>
          <w:rFonts w:cstheme="minorHAnsi"/>
          <w:b/>
          <w:bCs/>
          <w:sz w:val="20"/>
          <w:szCs w:val="20"/>
        </w:rPr>
      </w:pPr>
      <w:r w:rsidRPr="00096CFA">
        <w:rPr>
          <w:rFonts w:cstheme="minorHAnsi"/>
          <w:b/>
          <w:bCs/>
          <w:sz w:val="20"/>
          <w:szCs w:val="20"/>
        </w:rPr>
        <w:t xml:space="preserve">About Edward Lowe Foundation: </w:t>
      </w:r>
      <w:r w:rsidRPr="00096CFA">
        <w:rPr>
          <w:rFonts w:cstheme="minorHAnsi"/>
          <w:sz w:val="20"/>
          <w:szCs w:val="20"/>
        </w:rPr>
        <w:t xml:space="preserve">The Edward Lowe Foundation was established in 1985 by Ed and Darlene Lowe to leverage entrepreneurship as a strategy for economic growth and community development. The foundation’s entrepreneurship initiatives focus on second-stage companies, which are growth-oriented firms that have moved beyond startup but have not yet reached maturity. Its peer learning, leadership education, and strategic information programs are geared to help these companies continue growing. For more information, visit </w:t>
      </w:r>
      <w:hyperlink r:id="rId12" w:history="1">
        <w:r w:rsidRPr="00096CFA">
          <w:rPr>
            <w:rStyle w:val="Hyperlink"/>
            <w:rFonts w:cstheme="minorHAnsi"/>
            <w:sz w:val="20"/>
            <w:szCs w:val="20"/>
          </w:rPr>
          <w:t>www.EdwardLowe.org</w:t>
        </w:r>
      </w:hyperlink>
      <w:r w:rsidRPr="00096CFA">
        <w:rPr>
          <w:rFonts w:cstheme="minorHAnsi"/>
          <w:sz w:val="20"/>
          <w:szCs w:val="20"/>
        </w:rPr>
        <w:t xml:space="preserve">.   </w:t>
      </w:r>
    </w:p>
    <w:p w14:paraId="25B5E656" w14:textId="65748B67" w:rsidR="00BA757E" w:rsidRPr="00096CFA" w:rsidRDefault="00BA757E" w:rsidP="00096CFA">
      <w:pPr>
        <w:rPr>
          <w:rFonts w:ascii="Calibri" w:hAnsi="Calibri" w:cs="Calibri"/>
          <w:sz w:val="20"/>
          <w:szCs w:val="20"/>
        </w:rPr>
      </w:pPr>
    </w:p>
    <w:sectPr w:rsidR="00BA757E" w:rsidRPr="00096CFA" w:rsidSect="00D4782A">
      <w:footerReference w:type="default" r:id="rId13"/>
      <w:headerReference w:type="first" r:id="rId14"/>
      <w:footerReference w:type="first" r:id="rId15"/>
      <w:pgSz w:w="12240" w:h="15840"/>
      <w:pgMar w:top="1440" w:right="1440" w:bottom="1440" w:left="1440" w:header="72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1C23" w14:textId="77777777" w:rsidR="005F68B1" w:rsidRDefault="005F68B1" w:rsidP="0067550B">
      <w:pPr>
        <w:spacing w:after="0" w:line="240" w:lineRule="auto"/>
      </w:pPr>
      <w:r>
        <w:separator/>
      </w:r>
    </w:p>
  </w:endnote>
  <w:endnote w:type="continuationSeparator" w:id="0">
    <w:p w14:paraId="7B6E6591" w14:textId="77777777" w:rsidR="005F68B1" w:rsidRDefault="005F68B1" w:rsidP="0067550B">
      <w:pPr>
        <w:spacing w:after="0" w:line="240" w:lineRule="auto"/>
      </w:pPr>
      <w:r>
        <w:continuationSeparator/>
      </w:r>
    </w:p>
  </w:endnote>
  <w:endnote w:type="continuationNotice" w:id="1">
    <w:p w14:paraId="64B49C54" w14:textId="77777777" w:rsidR="005F68B1" w:rsidRDefault="005F6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03E0" w14:textId="60D4F756" w:rsidR="00C570AB" w:rsidRPr="00C570AB" w:rsidRDefault="00C570AB" w:rsidP="00C570AB">
    <w:pPr>
      <w:pStyle w:val="Footer"/>
      <w:ind w:left="720"/>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EE45" w14:textId="77777777" w:rsidR="00B921AD" w:rsidRPr="008B2EAC" w:rsidRDefault="00B921AD" w:rsidP="00B921AD">
    <w:pPr>
      <w:spacing w:after="0" w:line="240" w:lineRule="auto"/>
      <w:ind w:left="360"/>
      <w:jc w:val="center"/>
      <w:rPr>
        <w:rFonts w:ascii="Arial" w:eastAsia="Arial" w:hAnsi="Arial" w:cs="Arial"/>
        <w:sz w:val="24"/>
        <w:szCs w:val="24"/>
      </w:rPr>
    </w:pPr>
    <w:r w:rsidRPr="008B2EAC">
      <w:rPr>
        <w:rFonts w:ascii="Arial" w:hAnsi="Arial" w:cs="Arial"/>
        <w:b/>
        <w:sz w:val="24"/>
        <w:szCs w:val="24"/>
      </w:rPr>
      <w:t>-MORE-</w:t>
    </w:r>
  </w:p>
  <w:p w14:paraId="0DD07B4D" w14:textId="77777777" w:rsidR="00B921AD" w:rsidRDefault="00B9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657D" w14:textId="77777777" w:rsidR="005F68B1" w:rsidRDefault="005F68B1" w:rsidP="0067550B">
      <w:pPr>
        <w:spacing w:after="0" w:line="240" w:lineRule="auto"/>
      </w:pPr>
      <w:r>
        <w:separator/>
      </w:r>
    </w:p>
  </w:footnote>
  <w:footnote w:type="continuationSeparator" w:id="0">
    <w:p w14:paraId="07D53D77" w14:textId="77777777" w:rsidR="005F68B1" w:rsidRDefault="005F68B1" w:rsidP="0067550B">
      <w:pPr>
        <w:spacing w:after="0" w:line="240" w:lineRule="auto"/>
      </w:pPr>
      <w:r>
        <w:continuationSeparator/>
      </w:r>
    </w:p>
  </w:footnote>
  <w:footnote w:type="continuationNotice" w:id="1">
    <w:p w14:paraId="14E53E6E" w14:textId="77777777" w:rsidR="005F68B1" w:rsidRDefault="005F6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3086" w14:textId="415B2E0F" w:rsidR="0067550B" w:rsidRDefault="00D4782A" w:rsidP="0067550B">
    <w:pPr>
      <w:pStyle w:val="Header"/>
      <w:jc w:val="center"/>
    </w:pPr>
    <w:r>
      <w:rPr>
        <w:noProof/>
      </w:rPr>
      <w:drawing>
        <wp:anchor distT="0" distB="0" distL="114300" distR="114300" simplePos="0" relativeHeight="251658240" behindDoc="1" locked="0" layoutInCell="1" allowOverlap="1" wp14:anchorId="6202DAD3" wp14:editId="19268DE5">
          <wp:simplePos x="0" y="0"/>
          <wp:positionH relativeFrom="column">
            <wp:posOffset>1995170</wp:posOffset>
          </wp:positionH>
          <wp:positionV relativeFrom="paragraph">
            <wp:posOffset>-21590</wp:posOffset>
          </wp:positionV>
          <wp:extent cx="2874873" cy="1197864"/>
          <wp:effectExtent l="0" t="0" r="0" b="0"/>
          <wp:wrapTight wrapText="bothSides">
            <wp:wrapPolygon edited="0">
              <wp:start x="0" y="1603"/>
              <wp:lineTo x="0" y="18095"/>
              <wp:lineTo x="6680" y="19012"/>
              <wp:lineTo x="19944" y="19012"/>
              <wp:lineTo x="21471" y="18095"/>
              <wp:lineTo x="21471" y="1603"/>
              <wp:lineTo x="0" y="1603"/>
            </wp:wrapPolygon>
          </wp:wrapTight>
          <wp:docPr id="1396831987" name="Picture 1" descr="A white sign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31987" name="Picture 1" descr="A white sign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4873" cy="1197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CE4"/>
    <w:multiLevelType w:val="hybridMultilevel"/>
    <w:tmpl w:val="4C3C11D2"/>
    <w:lvl w:ilvl="0" w:tplc="3C4C8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02C48"/>
    <w:multiLevelType w:val="hybridMultilevel"/>
    <w:tmpl w:val="18C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76B4C"/>
    <w:multiLevelType w:val="hybridMultilevel"/>
    <w:tmpl w:val="3B6E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7DA8"/>
    <w:multiLevelType w:val="hybridMultilevel"/>
    <w:tmpl w:val="F3A4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B2D76"/>
    <w:multiLevelType w:val="hybridMultilevel"/>
    <w:tmpl w:val="8C8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43404"/>
    <w:multiLevelType w:val="hybridMultilevel"/>
    <w:tmpl w:val="50D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9360">
    <w:abstractNumId w:val="2"/>
  </w:num>
  <w:num w:numId="2" w16cid:durableId="1576360842">
    <w:abstractNumId w:val="5"/>
  </w:num>
  <w:num w:numId="3" w16cid:durableId="545028708">
    <w:abstractNumId w:val="3"/>
  </w:num>
  <w:num w:numId="4" w16cid:durableId="1619413385">
    <w:abstractNumId w:val="4"/>
  </w:num>
  <w:num w:numId="5" w16cid:durableId="1537935915">
    <w:abstractNumId w:val="1"/>
  </w:num>
  <w:num w:numId="6" w16cid:durableId="48709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0B"/>
    <w:rsid w:val="00004C5A"/>
    <w:rsid w:val="00017405"/>
    <w:rsid w:val="00056EED"/>
    <w:rsid w:val="00057F00"/>
    <w:rsid w:val="00081F17"/>
    <w:rsid w:val="00096CFA"/>
    <w:rsid w:val="000A4032"/>
    <w:rsid w:val="000D5FAB"/>
    <w:rsid w:val="000E5697"/>
    <w:rsid w:val="000F45C8"/>
    <w:rsid w:val="00120F8C"/>
    <w:rsid w:val="001774BE"/>
    <w:rsid w:val="001B447E"/>
    <w:rsid w:val="001C17F8"/>
    <w:rsid w:val="00203E98"/>
    <w:rsid w:val="00217D18"/>
    <w:rsid w:val="00232C1F"/>
    <w:rsid w:val="002B0372"/>
    <w:rsid w:val="002D4BF8"/>
    <w:rsid w:val="002F4B3A"/>
    <w:rsid w:val="003037A5"/>
    <w:rsid w:val="00365F38"/>
    <w:rsid w:val="003B52AD"/>
    <w:rsid w:val="003C6051"/>
    <w:rsid w:val="003C73FD"/>
    <w:rsid w:val="003C7B61"/>
    <w:rsid w:val="003E6163"/>
    <w:rsid w:val="003E7832"/>
    <w:rsid w:val="003F2387"/>
    <w:rsid w:val="003F3120"/>
    <w:rsid w:val="003F3224"/>
    <w:rsid w:val="00425A40"/>
    <w:rsid w:val="004A7EF6"/>
    <w:rsid w:val="004D4A24"/>
    <w:rsid w:val="005A4C48"/>
    <w:rsid w:val="005E43FF"/>
    <w:rsid w:val="005F0F8B"/>
    <w:rsid w:val="005F4369"/>
    <w:rsid w:val="005F68B1"/>
    <w:rsid w:val="00616F9E"/>
    <w:rsid w:val="00623B5E"/>
    <w:rsid w:val="00633184"/>
    <w:rsid w:val="00643C5B"/>
    <w:rsid w:val="0067550B"/>
    <w:rsid w:val="00682B81"/>
    <w:rsid w:val="00690F87"/>
    <w:rsid w:val="006A0313"/>
    <w:rsid w:val="006C0C32"/>
    <w:rsid w:val="007266E6"/>
    <w:rsid w:val="00844470"/>
    <w:rsid w:val="00850DE7"/>
    <w:rsid w:val="00853749"/>
    <w:rsid w:val="008712B4"/>
    <w:rsid w:val="008927D7"/>
    <w:rsid w:val="008A5679"/>
    <w:rsid w:val="008A57D8"/>
    <w:rsid w:val="008A7D8A"/>
    <w:rsid w:val="008B2D86"/>
    <w:rsid w:val="008B2EAC"/>
    <w:rsid w:val="008F4EAF"/>
    <w:rsid w:val="00914966"/>
    <w:rsid w:val="009351CC"/>
    <w:rsid w:val="009666BA"/>
    <w:rsid w:val="00977A79"/>
    <w:rsid w:val="009A0B8B"/>
    <w:rsid w:val="009F0118"/>
    <w:rsid w:val="00A21E4C"/>
    <w:rsid w:val="00A33270"/>
    <w:rsid w:val="00A96141"/>
    <w:rsid w:val="00A97B0D"/>
    <w:rsid w:val="00AE0AA3"/>
    <w:rsid w:val="00B11523"/>
    <w:rsid w:val="00B340E8"/>
    <w:rsid w:val="00B55070"/>
    <w:rsid w:val="00B56F46"/>
    <w:rsid w:val="00B921AD"/>
    <w:rsid w:val="00BA16BF"/>
    <w:rsid w:val="00BA757E"/>
    <w:rsid w:val="00BC0C36"/>
    <w:rsid w:val="00BE30CD"/>
    <w:rsid w:val="00BE456B"/>
    <w:rsid w:val="00BF1F6D"/>
    <w:rsid w:val="00BF61C2"/>
    <w:rsid w:val="00C5293B"/>
    <w:rsid w:val="00C5399E"/>
    <w:rsid w:val="00C570AB"/>
    <w:rsid w:val="00C602F1"/>
    <w:rsid w:val="00CC13B0"/>
    <w:rsid w:val="00CC4329"/>
    <w:rsid w:val="00CE209B"/>
    <w:rsid w:val="00D006CF"/>
    <w:rsid w:val="00D07235"/>
    <w:rsid w:val="00D25512"/>
    <w:rsid w:val="00D4782A"/>
    <w:rsid w:val="00D5196A"/>
    <w:rsid w:val="00D57B8C"/>
    <w:rsid w:val="00D77760"/>
    <w:rsid w:val="00DA6B70"/>
    <w:rsid w:val="00DC2C6C"/>
    <w:rsid w:val="00DD57BC"/>
    <w:rsid w:val="00DF73CE"/>
    <w:rsid w:val="00E032AA"/>
    <w:rsid w:val="00E23A68"/>
    <w:rsid w:val="00E248FC"/>
    <w:rsid w:val="00E271FD"/>
    <w:rsid w:val="00E4069D"/>
    <w:rsid w:val="00E457BD"/>
    <w:rsid w:val="00E63FFB"/>
    <w:rsid w:val="00E66708"/>
    <w:rsid w:val="00E72AB5"/>
    <w:rsid w:val="00E83519"/>
    <w:rsid w:val="00E937CD"/>
    <w:rsid w:val="00EB7E5B"/>
    <w:rsid w:val="00EC17EA"/>
    <w:rsid w:val="00EC6418"/>
    <w:rsid w:val="00ED5DFC"/>
    <w:rsid w:val="00EF053F"/>
    <w:rsid w:val="00EF6AB1"/>
    <w:rsid w:val="00F41616"/>
    <w:rsid w:val="00F70605"/>
    <w:rsid w:val="00F80226"/>
    <w:rsid w:val="00F845F1"/>
    <w:rsid w:val="00FA6765"/>
    <w:rsid w:val="00FD3BF0"/>
    <w:rsid w:val="0AEC9291"/>
    <w:rsid w:val="0FB4B2A5"/>
    <w:rsid w:val="107A0155"/>
    <w:rsid w:val="108546A1"/>
    <w:rsid w:val="136A6B0B"/>
    <w:rsid w:val="18987167"/>
    <w:rsid w:val="19E62BAE"/>
    <w:rsid w:val="20752409"/>
    <w:rsid w:val="219DF942"/>
    <w:rsid w:val="23B01337"/>
    <w:rsid w:val="23D19859"/>
    <w:rsid w:val="2461BE68"/>
    <w:rsid w:val="2B97BDE7"/>
    <w:rsid w:val="30835B48"/>
    <w:rsid w:val="30E13C30"/>
    <w:rsid w:val="3AB56B6F"/>
    <w:rsid w:val="3C03B968"/>
    <w:rsid w:val="3D5FB341"/>
    <w:rsid w:val="47036E59"/>
    <w:rsid w:val="49CF739E"/>
    <w:rsid w:val="5211ACAD"/>
    <w:rsid w:val="529730FC"/>
    <w:rsid w:val="5313DC61"/>
    <w:rsid w:val="53CA476B"/>
    <w:rsid w:val="53E93144"/>
    <w:rsid w:val="5670296F"/>
    <w:rsid w:val="5A31E465"/>
    <w:rsid w:val="5E978F55"/>
    <w:rsid w:val="634FFD4C"/>
    <w:rsid w:val="637613D8"/>
    <w:rsid w:val="6483E12C"/>
    <w:rsid w:val="6845CDCB"/>
    <w:rsid w:val="6A7A9557"/>
    <w:rsid w:val="6B737848"/>
    <w:rsid w:val="6B8B4238"/>
    <w:rsid w:val="6C824FB1"/>
    <w:rsid w:val="70015A72"/>
    <w:rsid w:val="727064C3"/>
    <w:rsid w:val="78061DFB"/>
    <w:rsid w:val="79B22AB6"/>
    <w:rsid w:val="7CDB7212"/>
    <w:rsid w:val="7E356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AFB02"/>
  <w15:docId w15:val="{82D6E3CA-B42F-41C3-83BA-640AFBD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0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0B"/>
    <w:pPr>
      <w:ind w:left="720"/>
      <w:contextualSpacing/>
    </w:pPr>
  </w:style>
  <w:style w:type="paragraph" w:styleId="Header">
    <w:name w:val="header"/>
    <w:basedOn w:val="Normal"/>
    <w:link w:val="HeaderChar"/>
    <w:uiPriority w:val="99"/>
    <w:unhideWhenUsed/>
    <w:rsid w:val="0067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0B"/>
  </w:style>
  <w:style w:type="paragraph" w:styleId="Footer">
    <w:name w:val="footer"/>
    <w:basedOn w:val="Normal"/>
    <w:link w:val="FooterChar"/>
    <w:uiPriority w:val="99"/>
    <w:unhideWhenUsed/>
    <w:rsid w:val="0067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0B"/>
  </w:style>
  <w:style w:type="paragraph" w:styleId="BalloonText">
    <w:name w:val="Balloon Text"/>
    <w:basedOn w:val="Normal"/>
    <w:link w:val="BalloonTextChar"/>
    <w:uiPriority w:val="99"/>
    <w:semiHidden/>
    <w:unhideWhenUsed/>
    <w:rsid w:val="0005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EED"/>
    <w:rPr>
      <w:rFonts w:ascii="Tahoma" w:hAnsi="Tahoma" w:cs="Tahoma"/>
      <w:sz w:val="16"/>
      <w:szCs w:val="16"/>
    </w:rPr>
  </w:style>
  <w:style w:type="character" w:styleId="Hyperlink">
    <w:name w:val="Hyperlink"/>
    <w:basedOn w:val="DefaultParagraphFont"/>
    <w:uiPriority w:val="99"/>
    <w:unhideWhenUsed/>
    <w:rsid w:val="00C5399E"/>
    <w:rPr>
      <w:color w:val="0563C1" w:themeColor="hyperlink"/>
      <w:u w:val="single"/>
    </w:rPr>
  </w:style>
  <w:style w:type="paragraph" w:styleId="Title">
    <w:name w:val="Title"/>
    <w:basedOn w:val="Normal"/>
    <w:next w:val="Normal"/>
    <w:link w:val="TitleChar"/>
    <w:uiPriority w:val="10"/>
    <w:qFormat/>
    <w:rsid w:val="00EF0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53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6C0C32"/>
    <w:rPr>
      <w:color w:val="605E5C"/>
      <w:shd w:val="clear" w:color="auto" w:fill="E1DFDD"/>
    </w:rPr>
  </w:style>
  <w:style w:type="character" w:styleId="CommentReference">
    <w:name w:val="annotation reference"/>
    <w:basedOn w:val="DefaultParagraphFont"/>
    <w:uiPriority w:val="99"/>
    <w:semiHidden/>
    <w:unhideWhenUsed/>
    <w:rsid w:val="00057F00"/>
    <w:rPr>
      <w:sz w:val="16"/>
      <w:szCs w:val="16"/>
    </w:rPr>
  </w:style>
  <w:style w:type="paragraph" w:styleId="CommentText">
    <w:name w:val="annotation text"/>
    <w:basedOn w:val="Normal"/>
    <w:link w:val="CommentTextChar"/>
    <w:uiPriority w:val="99"/>
    <w:semiHidden/>
    <w:unhideWhenUsed/>
    <w:rsid w:val="00057F00"/>
    <w:pPr>
      <w:spacing w:line="240" w:lineRule="auto"/>
    </w:pPr>
    <w:rPr>
      <w:sz w:val="20"/>
      <w:szCs w:val="20"/>
    </w:rPr>
  </w:style>
  <w:style w:type="character" w:customStyle="1" w:styleId="CommentTextChar">
    <w:name w:val="Comment Text Char"/>
    <w:basedOn w:val="DefaultParagraphFont"/>
    <w:link w:val="CommentText"/>
    <w:uiPriority w:val="99"/>
    <w:semiHidden/>
    <w:rsid w:val="00057F00"/>
    <w:rPr>
      <w:sz w:val="20"/>
      <w:szCs w:val="20"/>
    </w:rPr>
  </w:style>
  <w:style w:type="paragraph" w:styleId="CommentSubject">
    <w:name w:val="annotation subject"/>
    <w:basedOn w:val="CommentText"/>
    <w:next w:val="CommentText"/>
    <w:link w:val="CommentSubjectChar"/>
    <w:uiPriority w:val="99"/>
    <w:semiHidden/>
    <w:unhideWhenUsed/>
    <w:rsid w:val="00057F00"/>
    <w:rPr>
      <w:b/>
      <w:bCs/>
    </w:rPr>
  </w:style>
  <w:style w:type="character" w:customStyle="1" w:styleId="CommentSubjectChar">
    <w:name w:val="Comment Subject Char"/>
    <w:basedOn w:val="CommentTextChar"/>
    <w:link w:val="CommentSubject"/>
    <w:uiPriority w:val="99"/>
    <w:semiHidden/>
    <w:rsid w:val="00057F00"/>
    <w:rPr>
      <w:b/>
      <w:bCs/>
      <w:sz w:val="20"/>
      <w:szCs w:val="20"/>
    </w:rPr>
  </w:style>
  <w:style w:type="paragraph" w:styleId="NoSpacing">
    <w:name w:val="No Spacing"/>
    <w:uiPriority w:val="1"/>
    <w:qFormat/>
    <w:rsid w:val="00D006CF"/>
    <w:pPr>
      <w:widowControl w:val="0"/>
      <w:spacing w:after="0" w:line="240" w:lineRule="auto"/>
    </w:pPr>
    <w:rPr>
      <w:rFonts w:ascii="Arial" w:hAnsi="Arial" w:cs="Arial"/>
      <w:bCs/>
      <w:sz w:val="24"/>
      <w:szCs w:val="24"/>
    </w:rPr>
  </w:style>
  <w:style w:type="character" w:styleId="Mention">
    <w:name w:val="Mention"/>
    <w:basedOn w:val="DefaultParagraphFont"/>
    <w:uiPriority w:val="99"/>
    <w:unhideWhenUsed/>
    <w:rsid w:val="00EF6A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69178">
      <w:bodyDiv w:val="1"/>
      <w:marLeft w:val="0"/>
      <w:marRight w:val="0"/>
      <w:marTop w:val="0"/>
      <w:marBottom w:val="0"/>
      <w:divBdr>
        <w:top w:val="none" w:sz="0" w:space="0" w:color="auto"/>
        <w:left w:val="none" w:sz="0" w:space="0" w:color="auto"/>
        <w:bottom w:val="none" w:sz="0" w:space="0" w:color="auto"/>
        <w:right w:val="none" w:sz="0" w:space="0" w:color="auto"/>
      </w:divBdr>
    </w:div>
    <w:div w:id="1471557959">
      <w:bodyDiv w:val="1"/>
      <w:marLeft w:val="0"/>
      <w:marRight w:val="0"/>
      <w:marTop w:val="0"/>
      <w:marBottom w:val="0"/>
      <w:divBdr>
        <w:top w:val="none" w:sz="0" w:space="0" w:color="auto"/>
        <w:left w:val="none" w:sz="0" w:space="0" w:color="auto"/>
        <w:bottom w:val="none" w:sz="0" w:space="0" w:color="auto"/>
        <w:right w:val="none" w:sz="0" w:space="0" w:color="auto"/>
      </w:divBdr>
    </w:div>
    <w:div w:id="1659192422">
      <w:bodyDiv w:val="1"/>
      <w:marLeft w:val="0"/>
      <w:marRight w:val="0"/>
      <w:marTop w:val="0"/>
      <w:marBottom w:val="0"/>
      <w:divBdr>
        <w:top w:val="none" w:sz="0" w:space="0" w:color="auto"/>
        <w:left w:val="none" w:sz="0" w:space="0" w:color="auto"/>
        <w:bottom w:val="none" w:sz="0" w:space="0" w:color="auto"/>
        <w:right w:val="none" w:sz="0" w:space="0" w:color="auto"/>
      </w:divBdr>
    </w:div>
    <w:div w:id="1665543648">
      <w:bodyDiv w:val="1"/>
      <w:marLeft w:val="0"/>
      <w:marRight w:val="0"/>
      <w:marTop w:val="0"/>
      <w:marBottom w:val="0"/>
      <w:divBdr>
        <w:top w:val="none" w:sz="0" w:space="0" w:color="auto"/>
        <w:left w:val="none" w:sz="0" w:space="0" w:color="auto"/>
        <w:bottom w:val="none" w:sz="0" w:space="0" w:color="auto"/>
        <w:right w:val="none" w:sz="0" w:space="0" w:color="auto"/>
      </w:divBdr>
    </w:div>
    <w:div w:id="1718047133">
      <w:bodyDiv w:val="1"/>
      <w:marLeft w:val="0"/>
      <w:marRight w:val="0"/>
      <w:marTop w:val="0"/>
      <w:marBottom w:val="0"/>
      <w:divBdr>
        <w:top w:val="none" w:sz="0" w:space="0" w:color="auto"/>
        <w:left w:val="none" w:sz="0" w:space="0" w:color="auto"/>
        <w:bottom w:val="none" w:sz="0" w:space="0" w:color="auto"/>
        <w:right w:val="none" w:sz="0" w:space="0" w:color="auto"/>
      </w:divBdr>
    </w:div>
    <w:div w:id="1787386701">
      <w:bodyDiv w:val="1"/>
      <w:marLeft w:val="0"/>
      <w:marRight w:val="0"/>
      <w:marTop w:val="0"/>
      <w:marBottom w:val="0"/>
      <w:divBdr>
        <w:top w:val="none" w:sz="0" w:space="0" w:color="auto"/>
        <w:left w:val="none" w:sz="0" w:space="0" w:color="auto"/>
        <w:bottom w:val="none" w:sz="0" w:space="0" w:color="auto"/>
        <w:right w:val="none" w:sz="0" w:space="0" w:color="auto"/>
      </w:divBdr>
    </w:div>
    <w:div w:id="1827356101">
      <w:bodyDiv w:val="1"/>
      <w:marLeft w:val="0"/>
      <w:marRight w:val="0"/>
      <w:marTop w:val="0"/>
      <w:marBottom w:val="0"/>
      <w:divBdr>
        <w:top w:val="none" w:sz="0" w:space="0" w:color="auto"/>
        <w:left w:val="none" w:sz="0" w:space="0" w:color="auto"/>
        <w:bottom w:val="none" w:sz="0" w:space="0" w:color="auto"/>
        <w:right w:val="none" w:sz="0" w:space="0" w:color="auto"/>
      </w:divBdr>
    </w:div>
    <w:div w:id="20514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wardLow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owf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rowfl.com/about-growfl-flc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30ee2ad2-d297-4cc9-a079-4b22d40b147a">
      <Terms xmlns="http://schemas.microsoft.com/office/infopath/2007/PartnerControls"/>
    </lcf76f155ced4ddcb4097134ff3c332f>
    <TaxCatchAll xmlns="b2f620b1-b1c7-4f04-a8c7-38ac243dc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8DD99B291D34A9799694FE55747BE" ma:contentTypeVersion="16" ma:contentTypeDescription="Create a new document." ma:contentTypeScope="" ma:versionID="09b841c83e23826c1e3f90af200d1cf1">
  <xsd:schema xmlns:xsd="http://www.w3.org/2001/XMLSchema" xmlns:xs="http://www.w3.org/2001/XMLSchema" xmlns:p="http://schemas.microsoft.com/office/2006/metadata/properties" xmlns:ns2="30ee2ad2-d297-4cc9-a079-4b22d40b147a" xmlns:ns3="b2f620b1-b1c7-4f04-a8c7-38ac243dc98f" targetNamespace="http://schemas.microsoft.com/office/2006/metadata/properties" ma:root="true" ma:fieldsID="7786ac2c03fc26b8d8711153c41384bc" ns2:_="" ns3:_="">
    <xsd:import namespace="30ee2ad2-d297-4cc9-a079-4b22d40b147a"/>
    <xsd:import namespace="b2f620b1-b1c7-4f04-a8c7-38ac243dc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e2ad2-d297-4cc9-a079-4b22d40b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90570a-e0dc-4ccb-bc79-ba07faed3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620b1-b1c7-4f04-a8c7-38ac243dc9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274feb-1bde-40e3-9755-d1cc8f40eec0}" ma:internalName="TaxCatchAll" ma:showField="CatchAllData" ma:web="b2f620b1-b1c7-4f04-a8c7-38ac243d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B14DE-198F-4BAA-AB94-8D347E332E6C}">
  <ds:schemaRefs>
    <ds:schemaRef ds:uri="http://schemas.microsoft.com/sharepoint/v3/contenttype/forms"/>
  </ds:schemaRefs>
</ds:datastoreItem>
</file>

<file path=customXml/itemProps2.xml><?xml version="1.0" encoding="utf-8"?>
<ds:datastoreItem xmlns:ds="http://schemas.openxmlformats.org/officeDocument/2006/customXml" ds:itemID="{4F6F2666-2CE7-48E3-8938-94DB6498B4B7}">
  <ds:schemaRefs>
    <ds:schemaRef ds:uri="http://schemas.microsoft.com/office/2006/metadata/properties"/>
    <ds:schemaRef ds:uri="http://schemas.microsoft.com/office/infopath/2007/PartnerControls"/>
    <ds:schemaRef ds:uri="30ee2ad2-d297-4cc9-a079-4b22d40b147a"/>
    <ds:schemaRef ds:uri="b2f620b1-b1c7-4f04-a8c7-38ac243dc98f"/>
  </ds:schemaRefs>
</ds:datastoreItem>
</file>

<file path=customXml/itemProps3.xml><?xml version="1.0" encoding="utf-8"?>
<ds:datastoreItem xmlns:ds="http://schemas.openxmlformats.org/officeDocument/2006/customXml" ds:itemID="{2BFE4EFD-44E7-4323-B210-E7739809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e2ad2-d297-4cc9-a079-4b22d40b147a"/>
    <ds:schemaRef ds:uri="b2f620b1-b1c7-4f04-a8c7-38ac243d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Thomas</dc:creator>
  <cp:keywords/>
  <cp:lastModifiedBy>Hannah Metevia</cp:lastModifiedBy>
  <cp:revision>4</cp:revision>
  <dcterms:created xsi:type="dcterms:W3CDTF">2023-10-04T19:55:00Z</dcterms:created>
  <dcterms:modified xsi:type="dcterms:W3CDTF">2023-10-05T11:21:00Z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0x0101008498DD99B291D34A9799694FE55747BE</vt:lpwstr>
  </property>
  <property fmtid="{D5CDD505-2E9C-101B-9397-08002B2CF9AE}" pid="3" name="MediaServiceImageTags">
    <vt:lpwstr/>
  </property>
</Properties>
</file>